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left="0" w:firstLine="0" w:right="0"/>
        <w:contextualSpacing w:val="0"/>
        <w:jc w:val="left"/>
      </w:pPr>
      <w:bookmarkStart w:id="0" w:colFirst="0" w:name="id.93b321958eb0" w:colLast="0"/>
      <w:bookmarkEnd w:id="0"/>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Project 3 FDNS 4600/6600</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Nutrients in Fast Food Meals Compared to Healthy Meals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April 6, 2011</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Emilie Koetter, Darcy Lenz, Kimberly Jenkins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“We worked as a group on this project.”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Introduction</w:t>
      </w:r>
    </w:p>
    <w:p w:rsidP="00000000" w:rsidRPr="00000000" w:rsidR="00000000" w:rsidDel="00000000" w:rsidRDefault="00000000">
      <w:pPr>
        <w:spacing w:lineRule="auto" w:after="0" w:line="240" w:before="0"/>
        <w:ind w:left="0" w:firstLine="72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purpose of this project is to compare two meals: an example of a typical meal obtained at a fast food establishment versus a healthy meal prepared at home. Both meals comply with the given individual’s dietary preferences, however only the healthy meal correlates with the Dietary Guidelines for Americans (USDHHS and USDA, 2010) for protein, fat, and calories, and the Dietary References Intakes (IOM, 2010) for sodium. This individual is male, age 55, and is active. The healthy meal has been designed to meet 30-35% of his daily calorie need of 2800 calories (USDHHS and USDA, 2010). His protein needs are 56 grams per day and his fat intake, at 30% calories from fat, should be around 93.3 grams per day (USDHHS and USDA, 2010). His sodium intake should be less than 1300 milligrams per day (IOM, 2010). The nutrient content of foods is from USDA (2009) and food costs are from a local grocery store (Kroger, Athens, GA) and a local fast food restaurant (Chick-fil-a, Athens, GA). The information is summarized in the table.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bl>
      <w:tblPr>
        <w:bidiVisual w:val="0"/>
        <w:tblW w:w="938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60"/>
        <w:gridCol w:w="1060"/>
        <w:gridCol w:w="960"/>
        <w:gridCol w:w="960"/>
        <w:gridCol w:w="960"/>
        <w:gridCol w:w="960"/>
        <w:gridCol w:w="960"/>
        <w:gridCol w:w="960"/>
      </w:tblGrid>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Amount served in household units and in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USDA NDB number for foods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Calories, kcal</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Protein,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Fat,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Sodium, mg</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Cost per amount served,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0"/>
                <w:u w:val="none"/>
                <w:vertAlign w:val="baseline"/>
                <w:rtl w:val="0"/>
              </w:rPr>
              <w:t xml:space="preserve">Fast food (include at least 3 items), this example is from Chick-fil-a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8-count nuggets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113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260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990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2.75</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Waffle potato fries, small</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85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270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125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1.39</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Fruit cup, small</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124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50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1.69</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Diet coke, small</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320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1.29</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Chick-fil-a Sauce</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28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140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170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0.00</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Banana pudding milkshake, small</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414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780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440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2.55</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Totals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1500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53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63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1730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9.67</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Recommendations from USDHHS and USDA (2005) and IOM (2010), assigned person is 55 years old, male, and active, 30% of calories from fat</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2800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56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93.3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1300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ff0000"/>
                <w:sz w:val="20"/>
                <w:u w:val="none"/>
                <w:vertAlign w:val="baseline"/>
                <w:rtl w:val="0"/>
              </w:rPr>
              <w:t xml:space="preserve">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of recommendation</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53.6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94.6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67.5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75.14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ff0000"/>
                <w:sz w:val="20"/>
                <w:u w:val="none"/>
                <w:vertAlign w:val="baseline"/>
                <w:rtl w:val="0"/>
              </w:rPr>
              <w:t xml:space="preserve"> </w:t>
            </w:r>
          </w:p>
        </w:tc>
      </w:tr>
    </w:tbl>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bl>
      <w:tblPr>
        <w:bidiVisual w:val="0"/>
        <w:tblW w:w="938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467"/>
        <w:gridCol w:w="1045"/>
        <w:gridCol w:w="939"/>
        <w:gridCol w:w="1176"/>
        <w:gridCol w:w="940"/>
        <w:gridCol w:w="931"/>
        <w:gridCol w:w="943"/>
        <w:gridCol w:w="939"/>
      </w:tblGrid>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 Healthy meal (include all required items below) - note in the example all numbers are "made up," so be sure to look up all information</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Amount served in household units and in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USDA NDB number for foods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Calories, kcal (for healthy meal must be 30% to 35% of recommended)</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Protein,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Fat,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Sodium, mg</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Cost per amount served,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Grains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1cup long-grain brown rice,  195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20037</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216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2.52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0.88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0.09</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Meat</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½ boneless skinless chicken breast, 3 oz, 86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05064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142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26.68</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3.07</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64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0.34</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Dairy</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cup 2% reduced fat milk, 244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01079</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122.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8.05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4.83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115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0.24</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Fruit</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cup raw grapes,  151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09132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104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1.09</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0.24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0.63</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Vegetables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cup asparagus boiled, 180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11012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40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4.32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0.40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0.99</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Beverage (can be one of the above, such as fruit juice, vegetable juice, or milk)</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cup raw orange juice, 248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09206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112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1.74</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0.50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0.47</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Any other foods to meet the 30% to 35% of the daily energy recommendation (e.g., one meal)</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½ cup chocolate frozen yogurt, 87 grams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42186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110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2.61 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3.13 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55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0.17</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Totals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846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47.01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13.05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269</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2.93</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Recommendations from USDHHS and USDA (2005) and IOM (2010), assigned person is 55-year-old, active male, 30% of calories from fat</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2800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56</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93.3</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2300</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of recommendation</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30.21</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83.95</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13.99</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11.7</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r>
      <w:tr>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ff0000"/>
                <w:sz w:val="18"/>
                <w:u w:val="none"/>
                <w:vertAlign w:val="baseline"/>
                <w:rtl w:val="0"/>
              </w:rPr>
              <w:t xml:space="preserve">NOTE: energy must be 30% to 35% of recommendations; adjust food intake to achieve this</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c>
          <w:tcPr>
            <w:tcMar>
              <w:top w:w="100.0" w:type="dxa"/>
              <w:left w:w="108.0" w:type="dxa"/>
              <w:bottom w:w="100.0" w:type="dxa"/>
              <w:right w:w="108.0" w:type="dxa"/>
            </w:tcMar>
            <w:vAlign w:val="bottom"/>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w:t>
            </w:r>
          </w:p>
        </w:tc>
      </w:tr>
    </w:tbl>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Questions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accounts for the differences, if any, in the </w:t>
      </w:r>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energy</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content of the two meals? The fast food meal from Chick-fil-a is significantly higher in calories than the healthy meal mainly because it contains a higher total fat. Since fat contains 9 calories per gram, the fast food meal is higher in energy.</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accounts for the differences, if any, in the </w:t>
      </w:r>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protein</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content of the two meals? The healthy meal contains more protein than the fast food meal because several of the foods chosen, such as chicken, milk, and yogurt, are rich sources of complete proteins.</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accounts for the differences, if any, in the </w:t>
      </w:r>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fat</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content of the two meals? The Chick-fil-a meal has a significantly higher fat content compared to the healthy meal. Generally, fast food is higher in fat because many contain fried food. Also, the milkshake alone in the fast food meal contains 24 grams of fat. The healthy meal contributes only 13.05 grams total fat.</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accounts for the differences, if any, in the </w:t>
      </w:r>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sodium</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content of the two meals? The sodium content of the two meals varies significantly. Fast food restaurants, such as Chick-fil-a, generally offer foods high in sodium. Sodium is used to help preserve fast foods for longer periods of time and add flavor. Usually fresh meats and produce contain less preservatives and sodium.</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What accounts for the differences, if any, in the </w:t>
      </w:r>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cost</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content of the two meals? Even though fast food may be convenient and may appear to be cheaper than a home-cooked meal, most fast food meals are significantly more expensive when evaluated per serving. The Chick-fil-a meal is more expensive than the healthy meal by almost $6.74.</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Thinking back to the </w:t>
      </w:r>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green house gas emissions project</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would GHG be more likely to be higher or lower if you purchased the vegetables for this meal from a Georgia farmer who drove about 60 miles round-trip to sell his produce in a local market in Athens located about 10 miles from your residence? Explain. Purchasing vegetables from a local farmer would most likely be lower in GHG emissions. Buying vegetables at a local grocer may appear to produce lower GHG emissions, but after the vegetables are mass produced and treated with fertilizers, harvested by fossil fuel consuming machinery, driven from the farm to the main hub of a grocery chain, and are then dispersed to stores throughout the country, GHG emissions have accumulated. These pre-consumption activities do not even account for the consumer driving to and from the grocery store to buy the vegetables.</w:t>
      </w:r>
    </w:p>
    <w:p w:rsidP="00000000" w:rsidRPr="00000000" w:rsidR="00000000" w:rsidDel="00000000" w:rsidRDefault="00000000">
      <w:pPr>
        <w:numPr>
          <w:ilvl w:val="0"/>
          <w:numId w:val="3"/>
        </w:numPr>
        <w:spacing w:lineRule="auto" w:after="0" w:line="240" w:before="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Conclusions and what you learned from this project. We often eat fast foods because they are convenient, affordable, and easy to obtain. At the completion of this project, we learned that moderation is the key to a successful diet and healthier lifestyle. The consumption of fast foods on a regular basis can be harmful to health, so it is crucial that we make educated food choices. s tinos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References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333333"/>
          <w:sz w:val="22"/>
          <w:u w:val="none"/>
          <w:vertAlign w:val="baseline"/>
          <w:rtl w:val="0"/>
        </w:rPr>
        <w:t xml:space="preserve">Food prices:</w:t>
      </w:r>
    </w:p>
    <w:p w:rsidP="00000000" w:rsidRPr="00000000" w:rsidR="00000000" w:rsidDel="00000000" w:rsidRDefault="00000000">
      <w:pPr>
        <w:numPr>
          <w:ilvl w:val="0"/>
          <w:numId w:val="2"/>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Chick-fil-a, Athens, GA, March 27, 2011.</w:t>
      </w:r>
    </w:p>
    <w:p w:rsidP="00000000" w:rsidRPr="00000000" w:rsidR="00000000" w:rsidDel="00000000" w:rsidRDefault="00000000">
      <w:pPr>
        <w:numPr>
          <w:ilvl w:val="0"/>
          <w:numId w:val="2"/>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Kroger, Athens, GA, March 26, 2011.</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Chick-fil-a, Menu and Nutrition, </w:t>
      </w:r>
      <w:hyperlink r:id="rId5">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http://chick-fil-a.com/Food/Meal</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on March 27, 2010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Institute of Medicine, Dietary Reference Intakes (DRIs): Recommended Dietary Allowances and Adequate Intakes, Vitamins and Elements,  </w:t>
      </w:r>
      <w:bookmarkStart w:id="1" w:colFirst="0" w:name="id.01ddd1894c5f" w:colLast="0"/>
      <w:bookmarkEnd w:id="1"/>
      <w:hyperlink r:id="rId6">
        <w:r w:rsidRPr="00000000" w:rsidR="00000000" w:rsidDel="00000000">
          <w:rPr>
            <w:rFonts w:cs="Times New Roman" w:hAnsi="Times New Roman" w:eastAsia="Times New Roman" w:ascii="Times New Roman"/>
            <w:b w:val="0"/>
            <w:i w:val="0"/>
            <w:smallCaps w:val="0"/>
            <w:strike w:val="0"/>
            <w:color w:val="0000ff"/>
            <w:sz w:val="22"/>
            <w:u w:val="single"/>
            <w:vertAlign w:val="baseline"/>
            <w:rtl w:val="0"/>
          </w:rPr>
          <w:t xml:space="preserve">http://iom.edu/Activities/Nutrition/SummaryDRIs/~/media/Files/Activity%20Files/Nutrition/DRIs/RDA%20and%20AIs_Vitamin%20and%20Elements.pdf</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on March 26, 2011.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THIS HAS BEEN UPDATED FOR CALCIUM AND VITAMIN D. Vitamin D conversions: 15 micrograms = 600 IU. USE THIS FOR SODIUM, ESPECIALLY FOR THOSE WITH HYPERTENSION.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United States Department of Agriculture, Agricultural Research Service, USDA National Nutrient Database for Standard Reference, Release 23, Nutrient Data Laboratory Home Page, </w:t>
      </w:r>
      <w:hyperlink r:id="rId7">
        <w:r w:rsidRPr="00000000" w:rsidR="00000000" w:rsidDel="00000000">
          <w:rPr>
            <w:rFonts w:cs="Times New Roman" w:hAnsi="Times New Roman" w:eastAsia="Times New Roman" w:ascii="Times New Roman"/>
            <w:b w:val="0"/>
            <w:i w:val="0"/>
            <w:smallCaps w:val="0"/>
            <w:strike w:val="0"/>
            <w:color w:val="0000ff"/>
            <w:sz w:val="22"/>
            <w:u w:val="single"/>
            <w:vertAlign w:val="baseline"/>
            <w:rtl w:val="0"/>
          </w:rPr>
          <w:t xml:space="preserve">http://www.nal.usda.gov/fnic/foodcomp/search/</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on March 26, 2011.</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United States Department of Health and Human Services and United States Department of Agriculture, Dietary Guidelines for Americans, 2010; sodium and hypertension recommendations are on page “x”; energy recommendations are on page 14 or page 78; DRIs for several nutrients are on page 76 (not correct for calcium and vitamin D); meal patterns for energy recommendations and serving size recommendations for various food groups are on pages 79 and 80; </w:t>
      </w:r>
      <w:bookmarkStart w:id="2" w:colFirst="0" w:name="id.d300313e6be1" w:colLast="0"/>
      <w:bookmarkEnd w:id="2"/>
      <w:bookmarkStart w:id="3" w:colFirst="0" w:name="id.064297ab2155" w:colLast="0"/>
      <w:bookmarkEnd w:id="3"/>
      <w:hyperlink r:id="rId8">
        <w:r w:rsidRPr="00000000" w:rsidR="00000000" w:rsidDel="00000000">
          <w:rPr>
            <w:rFonts w:cs="Times New Roman" w:hAnsi="Times New Roman" w:eastAsia="Times New Roman" w:ascii="Times New Roman"/>
            <w:b w:val="0"/>
            <w:i w:val="0"/>
            <w:smallCaps w:val="0"/>
            <w:strike w:val="0"/>
            <w:color w:val="000000"/>
            <w:sz w:val="22"/>
            <w:u w:val="single"/>
            <w:vertAlign w:val="baseline"/>
            <w:rtl w:val="0"/>
          </w:rPr>
          <w:t xml:space="preserve">http://www.health.gov/dietaryguidelines/dga2010/DietaryGuidelines2010.pdf</w:t>
        </w:r>
      </w:hyperlink>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accessed on March 26, 2011.  NOTE: the DRIs for calcium and vitamin D are not correct on page 76 in this document.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USDA-NNDSR Information</w:t>
      </w:r>
    </w:p>
    <w:p w:rsidP="00000000" w:rsidRPr="00000000" w:rsidR="00000000" w:rsidDel="00000000" w:rsidRDefault="00000000">
      <w:pPr>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Rice, brown, long-grain, cooked</w:t>
      </w:r>
    </w:p>
    <w:p w:rsidP="00000000" w:rsidRPr="00000000" w:rsidR="00000000" w:rsidDel="00000000" w:rsidRDefault="00000000">
      <w:pPr>
        <w:spacing w:lineRule="auto" w:after="24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  </w:t>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NDB No:</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20037 (Nutrient values and weights are for edible portion)</w:t>
      </w:r>
    </w:p>
    <w:tbl>
      <w:tblPr>
        <w:bidiVisual w:val="0"/>
        <w:tblW w:w="547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79"/>
        <w:gridCol w:w="592"/>
        <w:gridCol w:w="1062"/>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Nutrient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Units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Value per</w:t>
              <w:br w:type="textWrapping"/>
              <w:t xml:space="preserve">100 grams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1.00 X 1 cup </w:t>
              <w:br w:type="textWrapping"/>
              <w:t xml:space="preserve">-------</w:t>
              <w:br w:type="textWrapping"/>
              <w:t xml:space="preserve">195g </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Proximates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73.09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142.53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216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464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905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5.03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0.90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Ash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0.90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Carbohydrate, by difference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22.96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44.77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Sugars, total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0.35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0.68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Sucrose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0.35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0.68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Glucose (dextrose)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Fructose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Maltose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Galactose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Minerals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Calcium, Ca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Iron, Fe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0.82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Magnesium, Mg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Phosphorus, P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162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Potassium, K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Chicken, broilers or fryers, breast, meat only, cooked, roasted</w:t>
      </w:r>
    </w:p>
    <w:p w:rsidP="00000000" w:rsidRPr="00000000" w:rsidR="00000000" w:rsidDel="00000000" w:rsidRDefault="00000000">
      <w:pPr>
        <w:spacing w:lineRule="auto" w:after="24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28%  (19% bone, 9% skin)</w:t>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NDB No:</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05064 (Nutrient values and weights are for edible portion)</w:t>
      </w:r>
    </w:p>
    <w:tbl>
      <w:tblPr>
        <w:bidiVisual w:val="0"/>
        <w:tblW w:w="670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79"/>
        <w:gridCol w:w="592"/>
        <w:gridCol w:w="1062"/>
        <w:gridCol w:w="1230"/>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Nutrient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Units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Value per</w:t>
              <w:br w:type="textWrapping"/>
              <w:t xml:space="preserve">100 grams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1.00 X 1 unit (yield from 1 lb ready-to-cook chicken) </w:t>
              <w:br w:type="textWrapping"/>
              <w:t xml:space="preserve">-------</w:t>
              <w:br w:type="textWrapping"/>
              <w:t xml:space="preserve">52g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1.00 X 0.5 breast, bone and skin removed </w:t>
              <w:br w:type="textWrapping"/>
              <w:t xml:space="preserve">-------</w:t>
              <w:br w:type="textWrapping"/>
              <w:t xml:space="preserve">86g </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Proximates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65.26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33.94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56.12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165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142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690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359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593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31.02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16.13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26.68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3.57</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1.86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3.07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Ash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0.91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Carbohydrate, by difference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Sugars, total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Minerals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Calcium, Ca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Iron, Fe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0.89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Magnesium, Mg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Phosphorus, P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196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Potassium, K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133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64</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Milk, reduced fat, fluid, 2% milkfat, with added vitamin A and vitamin D</w:t>
      </w:r>
    </w:p>
    <w:p w:rsidP="00000000" w:rsidRPr="00000000" w:rsidR="00000000" w:rsidDel="00000000" w:rsidRDefault="00000000">
      <w:pPr>
        <w:spacing w:lineRule="auto" w:after="24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  </w:t>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NDB No:</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01079 (Nutrient values and weights are for edible portion)</w:t>
      </w:r>
    </w:p>
    <w:tbl>
      <w:tblPr>
        <w:bidiVisual w:val="0"/>
        <w:tblW w:w="547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79"/>
        <w:gridCol w:w="592"/>
        <w:gridCol w:w="1062"/>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Nutrient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Units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Value per</w:t>
              <w:br w:type="textWrapping"/>
              <w:t xml:space="preserve">100 grams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1.00 X 1 cup </w:t>
              <w:br w:type="textWrapping"/>
              <w:t xml:space="preserve">-------</w:t>
              <w:br w:type="textWrapping"/>
              <w:t xml:space="preserve">244g </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Proximates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89.21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217.67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210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512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3.30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8.05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1.98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4.83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Ash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0.71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Carbohydrate, by difference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4.80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11.71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Sugars, total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5.06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12.35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Sucrose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Glucose (dextrose)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Fructose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5.01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12.22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Maltose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Galactose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Minerals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Calcium, Ca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293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Iron, Fe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Magnesium, Mg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Phosphorus, P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92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Potassium, K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140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342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47</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115</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Grapes, red or green (European type, such as Thompson seedless), raw</w:t>
      </w:r>
    </w:p>
    <w:p w:rsidP="00000000" w:rsidRPr="00000000" w:rsidR="00000000" w:rsidDel="00000000" w:rsidRDefault="00000000">
      <w:pPr>
        <w:spacing w:lineRule="auto" w:after="24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4%  (Stems)</w:t>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Scientific Name: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r w:rsidRPr="00000000" w:rsidR="00000000" w:rsidDel="00000000">
        <w:rPr>
          <w:rFonts w:cs="Times New Roman" w:hAnsi="Times New Roman" w:eastAsia="Times New Roman" w:ascii="Times New Roman"/>
          <w:b w:val="0"/>
          <w:i w:val="1"/>
          <w:smallCaps w:val="0"/>
          <w:strike w:val="0"/>
          <w:color w:val="000000"/>
          <w:sz w:val="22"/>
          <w:u w:val="none"/>
          <w:vertAlign w:val="baseline"/>
          <w:rtl w:val="0"/>
        </w:rPr>
        <w:t xml:space="preserve"> Vitis vinifera</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NDB No:</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09132 (Nutrient values and weights are for edible portion)</w:t>
      </w:r>
    </w:p>
    <w:tbl>
      <w:tblPr>
        <w:bidiVisual w:val="0"/>
        <w:tblW w:w="547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79"/>
        <w:gridCol w:w="592"/>
        <w:gridCol w:w="1062"/>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Nutrient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Units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Value per</w:t>
              <w:br w:type="textWrapping"/>
              <w:t xml:space="preserve">100 grams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1.00 X 1 cup </w:t>
              <w:br w:type="textWrapping"/>
              <w:t xml:space="preserve">-------</w:t>
              <w:br w:type="textWrapping"/>
              <w:t xml:space="preserve">151g </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Proximates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80.54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121.62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288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435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0.72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0.16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Ash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0.72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Carbohydrate, by difference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18.10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27.33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Sugars, total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15.48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23.37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Sucrose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0.15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Glucose (dextrose)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7.20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10.87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Fructose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8.13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12.28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Maltose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Galactose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Starch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Minerals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Calcium, Ca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Iron, Fe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0.36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Magnesium, Mg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Phosphorus, P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Potassium, K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191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288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Asparagus, cooked, boiled, drained</w:t>
      </w:r>
    </w:p>
    <w:p w:rsidP="00000000" w:rsidRPr="00000000" w:rsidR="00000000" w:rsidDel="00000000" w:rsidRDefault="00000000">
      <w:pPr>
        <w:spacing w:lineRule="auto" w:after="24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  </w:t>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NDB No:</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11012 (Nutrient values and weights are for edible portion)</w:t>
      </w:r>
    </w:p>
    <w:tbl>
      <w:tblPr>
        <w:bidiVisual w:val="0"/>
        <w:tblW w:w="547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79"/>
        <w:gridCol w:w="592"/>
        <w:gridCol w:w="1062"/>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Nutrient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Units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Value per</w:t>
              <w:br w:type="textWrapping"/>
              <w:t xml:space="preserve">100 grams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2.00 X 0.5 cup </w:t>
              <w:br w:type="textWrapping"/>
              <w:t xml:space="preserve">-------</w:t>
              <w:br w:type="textWrapping"/>
              <w:t xml:space="preserve">180g </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Proximates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92.63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166.73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94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169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2.40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4.32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Ash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0.63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Carbohydrate, by difference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4.11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7.40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Sugars, total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1.30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2.34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Sucrose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0.14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Glucose (dextrose)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0.76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Fructose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0.79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1.42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Maltose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Galactose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Starch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0.00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Minerals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Calcium, Ca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Iron, Fe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0.91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1.64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Magnesium, Mg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Phosphorus, P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97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Potassium, K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403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Orange juice, raw</w:t>
      </w:r>
    </w:p>
    <w:p w:rsidP="00000000" w:rsidRPr="00000000" w:rsidR="00000000" w:rsidDel="00000000" w:rsidRDefault="00000000">
      <w:pPr>
        <w:spacing w:lineRule="auto" w:after="24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  </w:t>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NDB No:</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09206 (Nutrient values and weights are for edible portion)</w:t>
      </w:r>
    </w:p>
    <w:tbl>
      <w:tblPr>
        <w:bidiVisual w:val="0"/>
        <w:tblW w:w="547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79"/>
        <w:gridCol w:w="592"/>
        <w:gridCol w:w="1062"/>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Nutrient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Units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Value per</w:t>
              <w:br w:type="textWrapping"/>
              <w:t xml:space="preserve">100 grams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1.00 X 1 cup </w:t>
              <w:br w:type="textWrapping"/>
              <w:t xml:space="preserve">-------</w:t>
              <w:br w:type="textWrapping"/>
              <w:t xml:space="preserve">248g </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Proximates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88.30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218.98</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188</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466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0.70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Ash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0.99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Carbohydrate, by difference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10.40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25.79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Sugars, total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8.40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20.83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Minerals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Calcium, Ca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Iron, Fe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0.20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Magnesium, Mg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Phosphorus, P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17</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Potassium, K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496</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Frozen yogurts, chocolate</w:t>
      </w:r>
    </w:p>
    <w:p w:rsidP="00000000" w:rsidRPr="00000000" w:rsidR="00000000" w:rsidDel="00000000" w:rsidRDefault="00000000">
      <w:pPr>
        <w:spacing w:lineRule="auto" w:after="24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Refuse:</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0%  </w:t>
        <w:br w:type="textWrapping"/>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NDB No:</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42186 (Nutrient values and weights are for edible portion)</w:t>
      </w:r>
    </w:p>
    <w:tbl>
      <w:tblPr>
        <w:bidiVisual w:val="0"/>
        <w:tblW w:w="547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79"/>
        <w:gridCol w:w="592"/>
        <w:gridCol w:w="1062"/>
        <w:gridCol w:w="1245"/>
      </w:tblGrid>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Nutrient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Units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Value per</w:t>
              <w:br w:type="textWrapping"/>
              <w:t xml:space="preserve">100 grams</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0.5 X 1 cup </w:t>
              <w:br w:type="textWrapping"/>
              <w:t xml:space="preserve">-------</w:t>
              <w:br w:type="textWrapping"/>
              <w:t xml:space="preserve">87g </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Proximates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Water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71.20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61.94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kcal</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127</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110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Energy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kJ</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531</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462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Protein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2.61</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Total lipid (fat)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3.60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3.13</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Ash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0.60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0.52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Carbohydrate, by difference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21.60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18.79</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Fiber, total dietary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Sugars, total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19.24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16.74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Minerals</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Calcium, Ca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100</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Iron, Fe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0.46</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0.40</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Magnesium, Mg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25</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22</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Phosphorus, P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89</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77</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Potassium, K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234</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204</w:t>
            </w:r>
          </w:p>
        </w:tc>
      </w:tr>
      <w:tr>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Sodium, Na </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mg</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63</w:t>
            </w:r>
          </w:p>
        </w:tc>
        <w:tc>
          <w:tcPr>
            <w:tcMar>
              <w:top w:w="15.0" w:type="dxa"/>
              <w:left w:w="15.0" w:type="dxa"/>
              <w:bottom w:w="15.0" w:type="dxa"/>
              <w:right w:w="15.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55</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Evaluation form </w:t>
      </w:r>
    </w:p>
    <w:tbl>
      <w:tblPr>
        <w:bidiVisual w:val="0"/>
        <w:tblW w:w="10523.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5833"/>
        <w:gridCol w:w="1351"/>
        <w:gridCol w:w="1245"/>
        <w:gridCol w:w="1307"/>
        <w:gridCol w:w="787"/>
      </w:tblGrid>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Requirements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Did not follow directions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A few problems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Very</w:t>
            </w:r>
          </w:p>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Good</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ff0000"/>
                <w:sz w:val="18"/>
                <w:u w:val="none"/>
                <w:vertAlign w:val="baseline"/>
                <w:rtl w:val="0"/>
              </w:rPr>
              <w:t xml:space="preserve">Points off</w:t>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Filename is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LastnamesDateProject3</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e.g., SamsonSmithJonesMarch1Project3;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no punctuation in the filename</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only one file submitted (all information must be in one file including this grading rubric); submitted to elc as an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attachment</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in the correct “assignment” area;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WORD files only</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(NO pdf, NO zipped files, do NOT paste file into box). </w:t>
            </w:r>
            <w:r w:rsidRPr="00000000" w:rsidR="00000000" w:rsidDel="00000000">
              <w:rPr>
                <w:rFonts w:cs="Times New Roman" w:hAnsi="Times New Roman" w:eastAsia="Times New Roman" w:ascii="Times New Roman"/>
                <w:b w:val="0"/>
                <w:i w:val="0"/>
                <w:smallCaps w:val="0"/>
                <w:strike w:val="0"/>
                <w:color w:val="ff0000"/>
                <w:sz w:val="18"/>
                <w:u w:val="none"/>
                <w:vertAlign w:val="baseline"/>
                <w:rtl w:val="0"/>
              </w:rPr>
              <w:t xml:space="preserve">Only ONE submission per group.</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Include this grading rubric in the file submitted above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Provided project number, title, date submitted, your name(s), state “we worked as a group on this project” at top of page; followed by an introductory paragraph with mandatory references for the required information, USDA and USDHHS (2010), IOM (2010), nutrient content (USDA, 2011), and stores where nutrition and price information obtained (Kroger, 2011) (about 1/3 page, 300 word limit). Use format from project 1.</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88"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error (2)</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all of this (6) </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Table can be 9- or 10-point font; no abbreviations; has required column headings; includes minimum of three fast foods; includes minimum of at least one serving of each of the 5 healthy food groups recommended by USDA and USDHHS (2010); and follows food preferences (e.g., organic or no red meat)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all of this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serving sizes and amounts served are all correct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calories are all correct (healthy meal must be 30% to 35% of daily energy)</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protein are all correct (IOM DRIs, 46 g or 56 g for most adults)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fat are all correct (recommendation is 20% to 35% of calories for most adults)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sodium are all correct (best to use IOM DRIs, 1500 mg for most adults, but 1300 mg for 51-70 and 1200 mg for &gt; 70 years old)</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Calculations for costs are all correct</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All correct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Answered the questions accurately and thoughtfully based on information in the table and the references (up to 1 page, 500 word limit including the questions)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Outside word limit, inaccurate, and/or inconsistent with data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Somewhat accurate, thoughtful, and consistent (2)</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Within word limit, accurate, thoughtful, consistent with data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References cited correctly as shown in the example, with attention to capitalization, commas, periods,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correct access date</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 no textbooks should be listed (1/2 page)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not do this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this accurately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National Nutrient Database for Standard Reference (USDA-NNDSR) information is included at the end of the file and the data are correct in the table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not do this; incorrect foods, units, serving sizes, other problems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Did this accurately (4)</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numPr>
                <w:ilvl w:val="0"/>
                <w:numId w:val="1"/>
              </w:numPr>
              <w:spacing w:lineRule="auto" w:after="0" w:line="240" w:before="0"/>
              <w:ind w:left="36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Follow formatting guidelines as illustrated in previous projects (spacing for units with a space between the number and the unit, number of significant digits), </w:t>
            </w: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do not capitalize nutrients in the middle of a sentence, </w:t>
            </w: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correct spelling, grammar and punctuation, 11 or 12 point font for text, single-spaced, 1 inch margins, no extra formatting (no colors, no borders, no shading, etc), no use of “&amp;”, do not use a title page, do use subheadings, follow word count (see above), pages are numbered</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2 or more errors (0)</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1 error (2)</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Professionally prepared with no errors (4)</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Penalty for late, -50% if 1 day late, 0 if more than 1 day late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18"/>
                <w:u w:val="none"/>
                <w:vertAlign w:val="baseline"/>
                <w:rtl w:val="0"/>
              </w:rPr>
              <w:t xml:space="preserve">45 points is maximum if work alone, so please work in groups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18"/>
                <w:u w:val="none"/>
                <w:vertAlign w:val="baseline"/>
                <w:rtl w:val="0"/>
              </w:rPr>
              <w:t xml:space="preserve">Total points</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before="0"/>
              <w:ind w:left="0" w:firstLine="0" w:right="0"/>
              <w:contextualSpacing w:val="0"/>
              <w:jc w:val="right"/>
            </w:pPr>
            <w:r w:rsidRPr="00000000" w:rsidR="00000000" w:rsidDel="00000000">
              <w:rPr>
                <w:rFonts w:cs="Times New Roman" w:hAnsi="Times New Roman" w:eastAsia="Times New Roman" w:ascii="Times New Roman"/>
                <w:b w:val="1"/>
                <w:i w:val="0"/>
                <w:smallCaps w:val="0"/>
                <w:strike w:val="0"/>
                <w:color w:val="ff0000"/>
                <w:sz w:val="18"/>
                <w:u w:val="none"/>
                <w:vertAlign w:val="baseline"/>
                <w:rtl w:val="0"/>
              </w:rPr>
              <w:t xml:space="preserve">/50</w:t>
            </w:r>
          </w:p>
        </w:tc>
      </w:tr>
    </w:tbl>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sectPr>
      <w:footerReference r:id="rId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36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360" w:firstLine="36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080" w:firstLine="108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1800" w:firstLine="180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520" w:firstLine="252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240" w:firstLine="324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3960" w:firstLine="396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4680" w:firstLine="468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400" w:firstLine="540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120" w:firstLine="6120"/>
      </w:pPr>
      <w:rPr>
        <w:rFonts w:cs="Times New Roman" w:hAnsi="Times New Roman" w:eastAsia="Times New Roman" w:ascii="Times New Roman"/>
        <w:b w:val="0"/>
        <w:i w:val="0"/>
        <w:smallCaps w:val="0"/>
        <w:strike w:val="0"/>
        <w:color w:val="000000"/>
        <w:sz w:val="20"/>
        <w:u w:val="none"/>
        <w:vertAlign w:val="baseline"/>
      </w:rPr>
    </w:lvl>
  </w:abstractNum>
  <w:abstractNum w:abstractNumId="2">
    <w:lvl w:ilvl="0">
      <w:start w:val="1"/>
      <w:numFmt w:val="decimal"/>
      <w:lvlText w:val="%1."/>
      <w:lvlJc w:val="left"/>
      <w:pPr>
        <w:ind w:left="360" w:firstLine="36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080" w:firstLine="108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1800" w:firstLine="180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520" w:firstLine="252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240" w:firstLine="324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3960" w:firstLine="396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4680" w:firstLine="468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400" w:firstLine="540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120" w:firstLine="6120"/>
      </w:pPr>
      <w:rPr>
        <w:rFonts w:cs="Times New Roman" w:hAnsi="Times New Roman" w:eastAsia="Times New Roman" w:ascii="Times New Roman"/>
        <w:b w:val="0"/>
        <w:i w:val="0"/>
        <w:smallCaps w:val="0"/>
        <w:strike w:val="0"/>
        <w:color w:val="000000"/>
        <w:sz w:val="20"/>
        <w:u w:val="none"/>
        <w:vertAlign w:val="baseline"/>
      </w:rPr>
    </w:lvl>
  </w:abstractNum>
  <w:abstractNum w:abstractNumId="3">
    <w:lvl w:ilvl="0">
      <w:start w:val="1"/>
      <w:numFmt w:val="decimal"/>
      <w:lvlText w:val="%1."/>
      <w:lvlJc w:val="left"/>
      <w:pPr>
        <w:ind w:left="720" w:firstLine="72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lvlJc w:val="left"/>
      <w:pPr>
        <w:ind w:left="1440" w:firstLine="144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lvlJc w:val="left"/>
      <w:pPr>
        <w:ind w:left="2160" w:firstLine="216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880" w:firstLine="288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lvlJc w:val="left"/>
      <w:pPr>
        <w:ind w:left="3600" w:firstLine="360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lvlJc w:val="left"/>
      <w:pPr>
        <w:ind w:left="4320" w:firstLine="432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5040" w:firstLine="504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lvlJc w:val="left"/>
      <w:pPr>
        <w:ind w:left="5760" w:firstLine="576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lvlJc w:val="left"/>
      <w:pPr>
        <w:ind w:left="6480" w:firstLine="6480"/>
      </w:pPr>
      <w:rPr>
        <w:rFonts w:cs="Times New Roman" w:hAnsi="Times New Roman" w:eastAsia="Times New Roman" w:ascii="Times New Roman"/>
        <w:b w:val="0"/>
        <w:i w:val="0"/>
        <w:smallCaps w:val="0"/>
        <w:strike w:val="0"/>
        <w:color w:val="000000"/>
        <w:sz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00" w:before="100"/>
      <w:contextualSpacing w:val="1"/>
    </w:pPr>
    <w:rPr>
      <w:b w:val="1"/>
      <w:smallCaps w:val="0"/>
      <w:sz w:val="48"/>
    </w:rPr>
  </w:style>
  <w:style w:styleId="Heading2" w:type="paragraph">
    <w:name w:val="heading 2"/>
    <w:basedOn w:val="Normal"/>
    <w:next w:val="Normal"/>
    <w:pPr>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http://iom.edu/Activities/Nutrition/SummaryDRIs/~/media/Files/Activity%20Files/Nutrition/DRIs/RDA%20and%20AIs_Vitamin%20and%20Elements.pdf" Type="http://schemas.openxmlformats.org/officeDocument/2006/relationships/hyperlink" TargetMode="External" Id="rId6"/><Relationship Target="http://chick-fil-a.com/Food/Meal" Type="http://schemas.openxmlformats.org/officeDocument/2006/relationships/hyperlink" TargetMode="External" Id="rId5"/><Relationship Target="http://www.health.gov/dietaryguidelines/dga2010/DietaryGuidelines2010.pdf" Type="http://schemas.openxmlformats.org/officeDocument/2006/relationships/hyperlink" TargetMode="External" Id="rId8"/><Relationship Target="http://www.nal.usda.gov/fnic/foodcomp/search/"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FDNS4600 Project 3.docx</dc:title>
</cp:coreProperties>
</file>